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A0DD" w14:textId="77777777" w:rsidR="001A2E32" w:rsidRDefault="001A2E32" w:rsidP="001A2E32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1A2E32">
        <w:rPr>
          <w:b/>
          <w:bCs/>
          <w:sz w:val="28"/>
          <w:szCs w:val="28"/>
        </w:rPr>
        <w:t xml:space="preserve">CPA Funding </w:t>
      </w:r>
      <w:r>
        <w:rPr>
          <w:b/>
          <w:bCs/>
          <w:sz w:val="28"/>
          <w:szCs w:val="28"/>
        </w:rPr>
        <w:t xml:space="preserve">and Project Requests </w:t>
      </w:r>
    </w:p>
    <w:p w14:paraId="17CA0E16" w14:textId="77777777" w:rsidR="00CE0D7A" w:rsidRPr="001A2E32" w:rsidRDefault="001A2E32" w:rsidP="00AC3D94">
      <w:pPr>
        <w:spacing w:after="0" w:line="240" w:lineRule="auto"/>
        <w:jc w:val="center"/>
        <w:rPr>
          <w:sz w:val="28"/>
          <w:szCs w:val="28"/>
        </w:rPr>
      </w:pPr>
      <w:r w:rsidRPr="001A2E32">
        <w:rPr>
          <w:sz w:val="28"/>
          <w:szCs w:val="28"/>
        </w:rPr>
        <w:t>Public Hearing April, 12, 2023</w:t>
      </w:r>
    </w:p>
    <w:p w14:paraId="3D8B26A1" w14:textId="77777777" w:rsidR="001A2E32" w:rsidRPr="00AC3D94" w:rsidRDefault="001A2E32" w:rsidP="001A2E32">
      <w:pPr>
        <w:spacing w:before="120" w:after="0" w:line="240" w:lineRule="auto"/>
        <w:jc w:val="center"/>
        <w:rPr>
          <w:b/>
          <w:bCs/>
          <w:sz w:val="14"/>
          <w:szCs w:val="14"/>
        </w:rPr>
      </w:pPr>
    </w:p>
    <w:p w14:paraId="1E55B0A7" w14:textId="77777777" w:rsidR="001A2E32" w:rsidRDefault="001A2E32" w:rsidP="001A2E32">
      <w:pPr>
        <w:spacing w:before="12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CPA funds available</w:t>
      </w:r>
    </w:p>
    <w:p w14:paraId="5866B90E" w14:textId="77777777" w:rsidR="00AC3D94" w:rsidRDefault="001A2E32" w:rsidP="001A2E3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Community Preservation Committee estimates that fy24 CPA revenues (Whately tax collections during the year and the state match for fy23 collections) will be about $190,000.  Ten percent of this amount must be allocated to the historic preservation, open space and recreation, and community housing reserves respectively.  </w:t>
      </w:r>
      <w:r w:rsidR="00AC3D94">
        <w:rPr>
          <w:sz w:val="24"/>
          <w:szCs w:val="24"/>
        </w:rPr>
        <w:t>Because of an underestimate of last year’s revenues, w</w:t>
      </w:r>
      <w:r>
        <w:rPr>
          <w:sz w:val="24"/>
          <w:szCs w:val="24"/>
        </w:rPr>
        <w:t>e are also recommending truing up each of these reserves</w:t>
      </w:r>
      <w:r w:rsidR="00AC3D94">
        <w:rPr>
          <w:sz w:val="24"/>
          <w:szCs w:val="24"/>
        </w:rPr>
        <w:t xml:space="preserve"> by allocating an additional $1200 from next year’s revenue.  We also recommend allocating $9500 to the administrative expense reserve.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3260"/>
        <w:gridCol w:w="1620"/>
        <w:gridCol w:w="1620"/>
        <w:gridCol w:w="1620"/>
      </w:tblGrid>
      <w:tr w:rsidR="00AC3D94" w:rsidRPr="00AC3D94" w14:paraId="6D64C52A" w14:textId="77777777" w:rsidTr="00AC3D94">
        <w:trPr>
          <w:trHeight w:val="603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62560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Estimated </w:t>
            </w: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FY24 CPA Funds Available </w:t>
            </w:r>
            <w:r w:rsidRPr="00AC3D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C3D94" w:rsidRPr="00AC3D94" w14:paraId="10C1846A" w14:textId="77777777" w:rsidTr="00AC3D94">
        <w:trPr>
          <w:trHeight w:val="654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CCEAC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Assumes FY24 CPA revenues of $190,000 and bucket allocations increased by $1200 to reflect additional fy23 revenue</w:t>
            </w:r>
          </w:p>
        </w:tc>
      </w:tr>
      <w:tr w:rsidR="00AC3D94" w:rsidRPr="00AC3D94" w14:paraId="0C250026" w14:textId="77777777" w:rsidTr="00AC3D94">
        <w:trPr>
          <w:trHeight w:val="85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18782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B87E7D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available funds as of 3/1/23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D9496B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fy24 allocations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E256B4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total available in fy24</w:t>
            </w:r>
          </w:p>
        </w:tc>
      </w:tr>
      <w:tr w:rsidR="00AC3D94" w:rsidRPr="00AC3D94" w14:paraId="0DCCC248" w14:textId="77777777" w:rsidTr="00AC3D94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37399" w14:textId="77777777" w:rsidR="00AC3D94" w:rsidRPr="00AC3D94" w:rsidRDefault="00AC3D94" w:rsidP="00AC3D9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Administrative expenses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65421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$7,240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3B87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$9,500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663BA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9,500</w:t>
            </w:r>
          </w:p>
        </w:tc>
      </w:tr>
      <w:tr w:rsidR="00AC3D94" w:rsidRPr="00AC3D94" w14:paraId="792DC428" w14:textId="77777777" w:rsidTr="00AC3D94">
        <w:trPr>
          <w:trHeight w:val="50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60EF0" w14:textId="77777777" w:rsidR="00AC3D94" w:rsidRPr="00AC3D94" w:rsidRDefault="00AC3D94" w:rsidP="00AC3D9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buckets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7CB4E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3911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D27D4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C3D94" w:rsidRPr="00AC3D94" w14:paraId="715CB607" w14:textId="77777777" w:rsidTr="00AC3D94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B320F" w14:textId="77777777" w:rsidR="00AC3D94" w:rsidRPr="00AC3D94" w:rsidRDefault="00AC3D94" w:rsidP="00AC3D94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Historic preservation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C4948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$274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43549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$20,200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FB2D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$20,474</w:t>
            </w:r>
          </w:p>
        </w:tc>
      </w:tr>
      <w:tr w:rsidR="00AC3D94" w:rsidRPr="00AC3D94" w14:paraId="44FA1313" w14:textId="77777777" w:rsidTr="00AC3D94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00BBA" w14:textId="77777777" w:rsidR="00AC3D94" w:rsidRPr="00AC3D94" w:rsidRDefault="00AC3D94" w:rsidP="00AC3D94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Open Space &amp; Recreation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A8AD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$23,452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C0FB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$20,200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CFF46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$43,652</w:t>
            </w:r>
          </w:p>
        </w:tc>
      </w:tr>
      <w:tr w:rsidR="00AC3D94" w:rsidRPr="00AC3D94" w14:paraId="0234F2B8" w14:textId="77777777" w:rsidTr="00AC3D94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A8702" w14:textId="77777777" w:rsidR="00AC3D94" w:rsidRPr="00AC3D94" w:rsidRDefault="00AC3D94" w:rsidP="00AC3D94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Community Housing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A4007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$92,826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72063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$20,200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599E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$113,026</w:t>
            </w:r>
          </w:p>
        </w:tc>
      </w:tr>
      <w:tr w:rsidR="00AC3D94" w:rsidRPr="00AC3D94" w14:paraId="0566E137" w14:textId="77777777" w:rsidTr="00AC3D94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03B1C" w14:textId="77777777" w:rsidR="00AC3D94" w:rsidRPr="00AC3D94" w:rsidRDefault="00AC3D94" w:rsidP="00AC3D9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Budgeted reserve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878D7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$117,000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AE84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$119,900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3D2B2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$119,900</w:t>
            </w:r>
          </w:p>
        </w:tc>
      </w:tr>
      <w:tr w:rsidR="00AC3D94" w:rsidRPr="00AC3D94" w14:paraId="686C0091" w14:textId="77777777" w:rsidTr="00AC3D94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AB9B2" w14:textId="77777777" w:rsidR="00AC3D94" w:rsidRPr="00AC3D94" w:rsidRDefault="00AC3D94" w:rsidP="00AC3D9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CPA fund balance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2BCC7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$29,157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F357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40A4E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$159,157</w:t>
            </w:r>
          </w:p>
        </w:tc>
      </w:tr>
      <w:tr w:rsidR="00AC3D94" w:rsidRPr="00AC3D94" w14:paraId="550BCB1E" w14:textId="77777777" w:rsidTr="00AC3D94">
        <w:trPr>
          <w:trHeight w:val="50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E974A" w14:textId="77777777" w:rsidR="00AC3D94" w:rsidRPr="00AC3D94" w:rsidRDefault="00AC3D94" w:rsidP="00AC3D9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Total non-expense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EB8D7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$262,709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EA78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D9AF" w14:textId="77777777" w:rsidR="00AC3D94" w:rsidRPr="00AC3D94" w:rsidRDefault="00AC3D94" w:rsidP="00AC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$456,209</w:t>
            </w:r>
          </w:p>
        </w:tc>
      </w:tr>
      <w:tr w:rsidR="00AC3D94" w:rsidRPr="00AC3D94" w14:paraId="25EEA697" w14:textId="77777777" w:rsidTr="00AC3D94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0EBF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E8ED9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B1663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C208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C3D94" w:rsidRPr="00AC3D94" w14:paraId="0DFE2760" w14:textId="77777777" w:rsidTr="00AC3D94">
        <w:trPr>
          <w:trHeight w:val="731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9C818" w14:textId="77777777" w:rsidR="00AC3D94" w:rsidRPr="00AC3D94" w:rsidRDefault="00AC3D94" w:rsidP="00AC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C3D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</w:t>
            </w:r>
            <w:proofErr w:type="gramStart"/>
            <w:r w:rsidRPr="00AC3D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includes</w:t>
            </w:r>
            <w:proofErr w:type="gramEnd"/>
            <w:r w:rsidRPr="00AC3D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$6000 additional from fy22 state match and an estimated $7000 rollover from unspent fy23 administrative expenses</w:t>
            </w:r>
          </w:p>
        </w:tc>
      </w:tr>
    </w:tbl>
    <w:p w14:paraId="6A393B81" w14:textId="77777777" w:rsidR="00AC3D94" w:rsidRDefault="00AC3D94" w:rsidP="00365733">
      <w:pPr>
        <w:spacing w:after="0" w:line="240" w:lineRule="auto"/>
        <w:jc w:val="center"/>
        <w:rPr>
          <w:sz w:val="24"/>
          <w:szCs w:val="24"/>
        </w:rPr>
      </w:pPr>
    </w:p>
    <w:p w14:paraId="30ACB575" w14:textId="77777777" w:rsidR="00AC3D94" w:rsidRPr="00AC3D94" w:rsidRDefault="00AC3D94" w:rsidP="00AC3D94">
      <w:pPr>
        <w:spacing w:before="120" w:after="0" w:line="240" w:lineRule="auto"/>
        <w:rPr>
          <w:b/>
          <w:bCs/>
          <w:sz w:val="28"/>
          <w:szCs w:val="28"/>
        </w:rPr>
      </w:pPr>
      <w:r w:rsidRPr="00AC3D94">
        <w:rPr>
          <w:b/>
          <w:bCs/>
          <w:sz w:val="28"/>
          <w:szCs w:val="28"/>
        </w:rPr>
        <w:t>Project Funding Requests</w:t>
      </w:r>
    </w:p>
    <w:p w14:paraId="6CBA0B10" w14:textId="77777777" w:rsidR="00AC3D94" w:rsidRDefault="00AC3D94" w:rsidP="00AC3D9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More information is available on these projects at Town Offices and on the Community Preservation Committee page at whately.org.</w:t>
      </w:r>
    </w:p>
    <w:p w14:paraId="3847628B" w14:textId="77777777" w:rsidR="00AC3D94" w:rsidRDefault="00AC3D94" w:rsidP="00AC3D94">
      <w:pPr>
        <w:spacing w:before="120" w:after="0" w:line="240" w:lineRule="auto"/>
        <w:rPr>
          <w:sz w:val="24"/>
          <w:szCs w:val="24"/>
        </w:rPr>
      </w:pPr>
      <w:r w:rsidRPr="00AC3D94">
        <w:rPr>
          <w:sz w:val="24"/>
          <w:szCs w:val="24"/>
          <w:u w:val="single"/>
        </w:rPr>
        <w:t>Frontier Regional Tennis Court Renovation</w:t>
      </w:r>
      <w:r>
        <w:rPr>
          <w:sz w:val="24"/>
          <w:szCs w:val="24"/>
        </w:rPr>
        <w:t>, Select Board request for Recreation funding, $11,500.</w:t>
      </w:r>
    </w:p>
    <w:p w14:paraId="259C408B" w14:textId="77777777" w:rsidR="00365733" w:rsidRDefault="00365733" w:rsidP="00AC3D9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This w</w:t>
      </w:r>
      <w:r w:rsidR="006915FF">
        <w:rPr>
          <w:sz w:val="24"/>
          <w:szCs w:val="24"/>
        </w:rPr>
        <w:t>ou</w:t>
      </w:r>
      <w:r>
        <w:rPr>
          <w:sz w:val="24"/>
          <w:szCs w:val="24"/>
        </w:rPr>
        <w:t>l</w:t>
      </w:r>
      <w:r w:rsidR="006915FF">
        <w:rPr>
          <w:sz w:val="24"/>
          <w:szCs w:val="24"/>
        </w:rPr>
        <w:t>d</w:t>
      </w:r>
      <w:r>
        <w:rPr>
          <w:sz w:val="24"/>
          <w:szCs w:val="24"/>
        </w:rPr>
        <w:t xml:space="preserve"> fund Whately’s share of a complete renovation of the existing tennis courts including fences and nets.  The existing four tennis courts will be maintained and pickle ball court lines added.</w:t>
      </w:r>
    </w:p>
    <w:p w14:paraId="7664EA5C" w14:textId="77777777" w:rsidR="00365733" w:rsidRDefault="006915FF" w:rsidP="00AC3D94">
      <w:pPr>
        <w:spacing w:before="120" w:after="0" w:line="240" w:lineRule="auto"/>
        <w:rPr>
          <w:sz w:val="24"/>
          <w:szCs w:val="24"/>
        </w:rPr>
      </w:pPr>
      <w:r w:rsidRPr="006915FF">
        <w:rPr>
          <w:sz w:val="24"/>
          <w:szCs w:val="24"/>
          <w:u w:val="single"/>
        </w:rPr>
        <w:lastRenderedPageBreak/>
        <w:t>Renovation of Library Steps</w:t>
      </w:r>
      <w:r w:rsidRPr="006915FF">
        <w:rPr>
          <w:sz w:val="24"/>
          <w:szCs w:val="24"/>
        </w:rPr>
        <w:t>,</w:t>
      </w:r>
      <w:r>
        <w:rPr>
          <w:sz w:val="24"/>
          <w:szCs w:val="24"/>
        </w:rPr>
        <w:t xml:space="preserve"> Library Trustees request for Historic Preservation funding, $8000.</w:t>
      </w:r>
    </w:p>
    <w:p w14:paraId="187FD1C5" w14:textId="77777777" w:rsidR="006915FF" w:rsidRDefault="006915FF" w:rsidP="00AC3D9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This request is to fund repair of the front steps of the library, the surrounding masonry, and the columns; to recoat the steps; and to replace the wrought iron railing.</w:t>
      </w:r>
    </w:p>
    <w:p w14:paraId="7A9F4044" w14:textId="77777777" w:rsidR="006915FF" w:rsidRDefault="006915FF" w:rsidP="00AC3D94">
      <w:pPr>
        <w:spacing w:before="120" w:after="0" w:line="240" w:lineRule="auto"/>
        <w:rPr>
          <w:sz w:val="24"/>
          <w:szCs w:val="24"/>
        </w:rPr>
      </w:pPr>
    </w:p>
    <w:p w14:paraId="4A715867" w14:textId="77777777" w:rsidR="006915FF" w:rsidRDefault="006915FF" w:rsidP="00AC3D94">
      <w:pPr>
        <w:spacing w:before="120" w:after="0" w:line="240" w:lineRule="auto"/>
        <w:rPr>
          <w:sz w:val="24"/>
          <w:szCs w:val="24"/>
        </w:rPr>
      </w:pPr>
      <w:r w:rsidRPr="006915FF">
        <w:rPr>
          <w:sz w:val="24"/>
          <w:szCs w:val="24"/>
          <w:u w:val="single"/>
        </w:rPr>
        <w:t>Restoration of Masonry Silo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Quonquont</w:t>
      </w:r>
      <w:proofErr w:type="spellEnd"/>
      <w:r>
        <w:rPr>
          <w:sz w:val="24"/>
          <w:szCs w:val="24"/>
        </w:rPr>
        <w:t xml:space="preserve"> Farm request for Historic Preservation funding, $24,350.</w:t>
      </w:r>
    </w:p>
    <w:p w14:paraId="7959503D" w14:textId="77777777" w:rsidR="006915FF" w:rsidRPr="006915FF" w:rsidRDefault="006915FF" w:rsidP="00AC3D9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would pay for a portion of the cost of </w:t>
      </w:r>
      <w:r w:rsidR="00A20479">
        <w:rPr>
          <w:sz w:val="24"/>
          <w:szCs w:val="24"/>
        </w:rPr>
        <w:t>replacing the roof and repairing the masonry of one of the three rare masonry silos at the Farm.  The CPC will require a grant agreement and a 20-year payback provision if the silo is not properly maintained in its preserved state.</w:t>
      </w:r>
    </w:p>
    <w:p w14:paraId="726838C8" w14:textId="77777777" w:rsidR="00365733" w:rsidRPr="001A2E32" w:rsidRDefault="00365733" w:rsidP="00AC3D9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65733" w:rsidRPr="001A2E32" w:rsidSect="0036573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32"/>
    <w:rsid w:val="001A2E32"/>
    <w:rsid w:val="0022376D"/>
    <w:rsid w:val="00365733"/>
    <w:rsid w:val="006915FF"/>
    <w:rsid w:val="00715380"/>
    <w:rsid w:val="00A20479"/>
    <w:rsid w:val="00AC3D94"/>
    <w:rsid w:val="00C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7A42"/>
  <w15:chartTrackingRefBased/>
  <w15:docId w15:val="{FD91EF23-894A-40EA-90C9-4F2F55A1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Markland</dc:creator>
  <cp:keywords/>
  <dc:description/>
  <cp:lastModifiedBy>Town Clerk</cp:lastModifiedBy>
  <cp:revision>2</cp:revision>
  <dcterms:created xsi:type="dcterms:W3CDTF">2023-04-10T14:42:00Z</dcterms:created>
  <dcterms:modified xsi:type="dcterms:W3CDTF">2023-04-10T14:42:00Z</dcterms:modified>
</cp:coreProperties>
</file>