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7C94" w14:textId="77777777" w:rsidR="009132DC" w:rsidRPr="009132DC" w:rsidRDefault="009132DC" w:rsidP="009132DC">
      <w:pPr>
        <w:jc w:val="center"/>
        <w:rPr>
          <w:sz w:val="28"/>
          <w:szCs w:val="28"/>
        </w:rPr>
      </w:pPr>
      <w:r>
        <w:rPr>
          <w:sz w:val="28"/>
          <w:szCs w:val="28"/>
        </w:rPr>
        <w:t xml:space="preserve">Planning Board Zoning </w:t>
      </w:r>
      <w:r w:rsidR="00BB3889">
        <w:rPr>
          <w:sz w:val="28"/>
          <w:szCs w:val="28"/>
        </w:rPr>
        <w:t xml:space="preserve">and Zoning Map </w:t>
      </w:r>
      <w:r>
        <w:rPr>
          <w:sz w:val="28"/>
          <w:szCs w:val="28"/>
        </w:rPr>
        <w:t>Change Proposals – April 2023</w:t>
      </w:r>
    </w:p>
    <w:p w14:paraId="7FEAFDDF" w14:textId="77777777" w:rsidR="00CE0D7A" w:rsidRDefault="000775C0">
      <w:pPr>
        <w:rPr>
          <w:sz w:val="24"/>
          <w:szCs w:val="24"/>
        </w:rPr>
      </w:pPr>
      <w:r>
        <w:rPr>
          <w:sz w:val="24"/>
          <w:szCs w:val="24"/>
        </w:rPr>
        <w:t xml:space="preserve">The Planning Board is recommending a correction </w:t>
      </w:r>
      <w:r w:rsidR="009132DC">
        <w:rPr>
          <w:sz w:val="24"/>
          <w:szCs w:val="24"/>
        </w:rPr>
        <w:t xml:space="preserve">to the Solar Bylaw </w:t>
      </w:r>
      <w:r>
        <w:rPr>
          <w:sz w:val="24"/>
          <w:szCs w:val="24"/>
        </w:rPr>
        <w:t xml:space="preserve">and </w:t>
      </w:r>
      <w:r w:rsidR="009132DC">
        <w:rPr>
          <w:sz w:val="24"/>
          <w:szCs w:val="24"/>
        </w:rPr>
        <w:t>an</w:t>
      </w:r>
      <w:r>
        <w:rPr>
          <w:sz w:val="24"/>
          <w:szCs w:val="24"/>
        </w:rPr>
        <w:t xml:space="preserve"> update to the </w:t>
      </w:r>
      <w:r w:rsidR="009132DC">
        <w:rPr>
          <w:sz w:val="24"/>
          <w:szCs w:val="24"/>
        </w:rPr>
        <w:t xml:space="preserve">Aquifer Protection District </w:t>
      </w:r>
      <w:r w:rsidR="00BB3889">
        <w:rPr>
          <w:sz w:val="24"/>
          <w:szCs w:val="24"/>
        </w:rPr>
        <w:t>Bylaw, as</w:t>
      </w:r>
      <w:r w:rsidR="009132DC">
        <w:rPr>
          <w:sz w:val="24"/>
          <w:szCs w:val="24"/>
        </w:rPr>
        <w:t xml:space="preserve"> well as </w:t>
      </w:r>
      <w:r>
        <w:rPr>
          <w:sz w:val="24"/>
          <w:szCs w:val="24"/>
        </w:rPr>
        <w:t>corrections to the Zoning Map.  Bylaw insertions are in bold and deletions in strikeout</w:t>
      </w:r>
      <w:r w:rsidR="009132DC">
        <w:rPr>
          <w:sz w:val="24"/>
          <w:szCs w:val="24"/>
        </w:rPr>
        <w:t>.</w:t>
      </w:r>
    </w:p>
    <w:p w14:paraId="751A587B" w14:textId="77777777" w:rsidR="009132DC" w:rsidRPr="00BB3889" w:rsidRDefault="009132DC">
      <w:pPr>
        <w:rPr>
          <w:sz w:val="10"/>
          <w:szCs w:val="10"/>
        </w:rPr>
      </w:pPr>
    </w:p>
    <w:p w14:paraId="0EC16C49" w14:textId="77777777" w:rsidR="000775C0" w:rsidRPr="00FC65D7" w:rsidRDefault="00FC65D7" w:rsidP="00FC65D7">
      <w:pPr>
        <w:spacing w:after="120"/>
        <w:ind w:left="-90"/>
        <w:rPr>
          <w:rStyle w:val="normaltextrun"/>
          <w:sz w:val="24"/>
          <w:szCs w:val="24"/>
        </w:rPr>
      </w:pPr>
      <w:r w:rsidRPr="00B6223F">
        <w:rPr>
          <w:sz w:val="24"/>
          <w:szCs w:val="24"/>
          <w:u w:val="single"/>
        </w:rPr>
        <w:t>1. A c</w:t>
      </w:r>
      <w:r w:rsidR="000775C0" w:rsidRPr="00B6223F">
        <w:rPr>
          <w:sz w:val="24"/>
          <w:szCs w:val="24"/>
          <w:u w:val="single"/>
        </w:rPr>
        <w:t xml:space="preserve">orrection to </w:t>
      </w:r>
      <w:r w:rsidR="000775C0" w:rsidRPr="00B6223F">
        <w:rPr>
          <w:rStyle w:val="normaltextrun"/>
          <w:rFonts w:ascii="Calibri" w:hAnsi="Calibri" w:cs="Calibri"/>
          <w:sz w:val="24"/>
          <w:szCs w:val="24"/>
          <w:u w:val="single"/>
        </w:rPr>
        <w:t>~171-28.5 Solar Electric Generating Facilities</w:t>
      </w:r>
      <w:r w:rsidR="000775C0" w:rsidRPr="00FC65D7">
        <w:rPr>
          <w:rStyle w:val="normaltextrun"/>
          <w:rFonts w:ascii="Calibri" w:hAnsi="Calibri" w:cs="Calibri"/>
          <w:b/>
          <w:bCs/>
          <w:sz w:val="24"/>
          <w:szCs w:val="24"/>
        </w:rPr>
        <w:t xml:space="preserve"> </w:t>
      </w:r>
      <w:r w:rsidR="000775C0" w:rsidRPr="00FC65D7">
        <w:rPr>
          <w:rStyle w:val="normaltextrun"/>
          <w:rFonts w:ascii="Calibri" w:hAnsi="Calibri" w:cs="Calibri"/>
          <w:sz w:val="24"/>
          <w:szCs w:val="24"/>
        </w:rPr>
        <w:t xml:space="preserve">H (3) to replace language inadvertently omitted during revisions of the bylaw in 2020.  The insertion restores the original language approved in </w:t>
      </w:r>
      <w:r w:rsidR="009132DC" w:rsidRPr="00FC65D7">
        <w:rPr>
          <w:rStyle w:val="normaltextrun"/>
          <w:rFonts w:ascii="Calibri" w:hAnsi="Calibri" w:cs="Calibri"/>
          <w:sz w:val="24"/>
          <w:szCs w:val="24"/>
        </w:rPr>
        <w:t>2011.</w:t>
      </w:r>
    </w:p>
    <w:p w14:paraId="2D63DAE7" w14:textId="77777777" w:rsidR="009132DC" w:rsidRPr="009132DC" w:rsidRDefault="009132DC" w:rsidP="009132DC">
      <w:pPr>
        <w:pStyle w:val="paragraph"/>
        <w:spacing w:before="0" w:beforeAutospacing="0" w:after="120" w:afterAutospacing="0"/>
        <w:ind w:firstLine="720"/>
        <w:textAlignment w:val="baseline"/>
      </w:pPr>
      <w:r w:rsidRPr="009132DC">
        <w:t>“</w:t>
      </w:r>
      <w:r w:rsidRPr="009132DC">
        <w:rPr>
          <w:rStyle w:val="normaltextrun"/>
          <w:rFonts w:ascii="Calibri" w:hAnsi="Calibri" w:cs="Calibri"/>
          <w:i/>
          <w:iCs/>
        </w:rPr>
        <w:t>H. Design and Performance Standards</w:t>
      </w:r>
      <w:r w:rsidRPr="009132DC">
        <w:rPr>
          <w:rStyle w:val="eop"/>
          <w:rFonts w:ascii="Calibri" w:hAnsi="Calibri" w:cs="Calibri"/>
        </w:rPr>
        <w:t> </w:t>
      </w:r>
    </w:p>
    <w:p w14:paraId="6AD1941A" w14:textId="77777777" w:rsidR="009132DC" w:rsidRPr="009132DC" w:rsidRDefault="009132DC" w:rsidP="001B25B3">
      <w:pPr>
        <w:pStyle w:val="paragraph"/>
        <w:spacing w:before="0" w:beforeAutospacing="0" w:after="120" w:afterAutospacing="0"/>
        <w:ind w:firstLine="720"/>
        <w:textAlignment w:val="baseline"/>
      </w:pPr>
      <w:r w:rsidRPr="009132DC">
        <w:rPr>
          <w:rStyle w:val="normaltextrun"/>
          <w:rFonts w:ascii="Calibri" w:hAnsi="Calibri" w:cs="Calibri"/>
          <w:i/>
          <w:iCs/>
        </w:rPr>
        <w:t>(3) Utility Connections</w:t>
      </w:r>
      <w:r w:rsidRPr="009132DC">
        <w:rPr>
          <w:rStyle w:val="eop"/>
          <w:rFonts w:ascii="Calibri" w:hAnsi="Calibri" w:cs="Calibri"/>
        </w:rPr>
        <w:t> </w:t>
      </w:r>
    </w:p>
    <w:p w14:paraId="052B8E87" w14:textId="2CDDF7EA" w:rsidR="009132DC" w:rsidRPr="009132DC" w:rsidRDefault="009132DC" w:rsidP="001B25B3">
      <w:pPr>
        <w:pStyle w:val="paragraph"/>
        <w:spacing w:before="0" w:beforeAutospacing="0"/>
        <w:ind w:left="900"/>
        <w:textAlignment w:val="baseline"/>
      </w:pPr>
      <w:r w:rsidRPr="009132DC">
        <w:rPr>
          <w:rStyle w:val="normaltextrun"/>
          <w:rFonts w:ascii="Calibri" w:hAnsi="Calibri" w:cs="Calibri"/>
          <w:i/>
          <w:iCs/>
        </w:rPr>
        <w:t>Reasonable efforts, as determined by the Planning Board, shall be made to place all utility connections from the solar electric installation</w:t>
      </w:r>
      <w:r w:rsidRPr="009132DC">
        <w:rPr>
          <w:rStyle w:val="normaltextrun"/>
          <w:rFonts w:ascii="Calibri" w:hAnsi="Calibri" w:cs="Calibri"/>
          <w:b/>
          <w:bCs/>
          <w:i/>
          <w:iCs/>
        </w:rPr>
        <w:t xml:space="preserve"> underground, depending on appropriate soil conditions, shape, and topography of the site and any requirements of the utility provider. </w:t>
      </w:r>
      <w:r w:rsidRPr="009132DC">
        <w:rPr>
          <w:rStyle w:val="normaltextrun"/>
          <w:rFonts w:ascii="Calibri" w:hAnsi="Calibri" w:cs="Calibri"/>
          <w:i/>
          <w:iCs/>
        </w:rPr>
        <w:t xml:space="preserve">Electrical transformers for utility interconnections may be above ground if required by the utility </w:t>
      </w:r>
      <w:r w:rsidR="00C93716" w:rsidRPr="009132DC">
        <w:rPr>
          <w:rStyle w:val="normaltextrun"/>
          <w:rFonts w:ascii="Calibri" w:hAnsi="Calibri" w:cs="Calibri"/>
          <w:i/>
          <w:iCs/>
        </w:rPr>
        <w:t>provider.</w:t>
      </w:r>
      <w:r w:rsidR="00C93716" w:rsidRPr="009132DC">
        <w:rPr>
          <w:rStyle w:val="eop"/>
          <w:rFonts w:ascii="Calibri" w:hAnsi="Calibri" w:cs="Calibri"/>
        </w:rPr>
        <w:t xml:space="preserve"> “</w:t>
      </w:r>
      <w:r w:rsidR="00EA2FD0">
        <w:rPr>
          <w:rStyle w:val="eop"/>
          <w:rFonts w:ascii="Calibri" w:hAnsi="Calibri" w:cs="Calibri"/>
        </w:rPr>
        <w:t xml:space="preserve"> </w:t>
      </w:r>
    </w:p>
    <w:p w14:paraId="730785DD" w14:textId="7838C6ED" w:rsidR="009132DC" w:rsidRPr="00EA2FD0" w:rsidRDefault="009132DC" w:rsidP="001B25B3">
      <w:pPr>
        <w:pStyle w:val="paragraph"/>
        <w:spacing w:before="120" w:beforeAutospacing="0"/>
        <w:textAlignment w:val="baseline"/>
        <w:rPr>
          <w:rFonts w:asciiTheme="minorHAnsi" w:hAnsiTheme="minorHAnsi" w:cstheme="minorHAnsi"/>
        </w:rPr>
      </w:pPr>
      <w:r w:rsidRPr="00B6223F">
        <w:rPr>
          <w:rFonts w:asciiTheme="minorHAnsi" w:hAnsiTheme="minorHAnsi" w:cstheme="minorHAnsi"/>
          <w:u w:val="single"/>
        </w:rPr>
        <w:t xml:space="preserve">2. Updates to </w:t>
      </w:r>
      <w:r w:rsidRPr="00B6223F">
        <w:rPr>
          <w:rStyle w:val="normaltextrun"/>
          <w:rFonts w:asciiTheme="minorHAnsi" w:hAnsiTheme="minorHAnsi" w:cstheme="minorHAnsi"/>
          <w:u w:val="single"/>
        </w:rPr>
        <w:t xml:space="preserve">~171-28.4 </w:t>
      </w:r>
      <w:r w:rsidR="00EA2FD0" w:rsidRPr="00B6223F">
        <w:rPr>
          <w:rStyle w:val="normaltextrun"/>
          <w:rFonts w:asciiTheme="minorHAnsi" w:hAnsiTheme="minorHAnsi" w:cstheme="minorHAnsi"/>
          <w:u w:val="single"/>
        </w:rPr>
        <w:t>Aquifer Protection District</w:t>
      </w:r>
      <w:r w:rsidR="00EA2FD0">
        <w:rPr>
          <w:rStyle w:val="normaltextrun"/>
          <w:rFonts w:asciiTheme="minorHAnsi" w:hAnsiTheme="minorHAnsi" w:cstheme="minorHAnsi"/>
        </w:rPr>
        <w:t xml:space="preserve"> to </w:t>
      </w:r>
      <w:r w:rsidR="001B25B3">
        <w:rPr>
          <w:rStyle w:val="normaltextrun"/>
          <w:rFonts w:asciiTheme="minorHAnsi" w:hAnsiTheme="minorHAnsi" w:cstheme="minorHAnsi"/>
        </w:rPr>
        <w:t>reflect the fact that the Whately Water District wells are no longer serving as a public water supply.  References to the Water District wells and to the Interim Wellhead Protection Area</w:t>
      </w:r>
      <w:r w:rsidR="00C93716">
        <w:rPr>
          <w:rStyle w:val="normaltextrun"/>
          <w:rFonts w:asciiTheme="minorHAnsi" w:hAnsiTheme="minorHAnsi" w:cstheme="minorHAnsi"/>
        </w:rPr>
        <w:t>,</w:t>
      </w:r>
      <w:r w:rsidR="001B25B3">
        <w:rPr>
          <w:rStyle w:val="normaltextrun"/>
          <w:rFonts w:asciiTheme="minorHAnsi" w:hAnsiTheme="minorHAnsi" w:cstheme="minorHAnsi"/>
        </w:rPr>
        <w:t xml:space="preserve"> which only applied to those wells</w:t>
      </w:r>
      <w:r w:rsidR="00C93716">
        <w:rPr>
          <w:rStyle w:val="normaltextrun"/>
          <w:rFonts w:asciiTheme="minorHAnsi" w:hAnsiTheme="minorHAnsi" w:cstheme="minorHAnsi"/>
        </w:rPr>
        <w:t>,</w:t>
      </w:r>
      <w:r w:rsidR="001B25B3">
        <w:rPr>
          <w:rStyle w:val="normaltextrun"/>
          <w:rFonts w:asciiTheme="minorHAnsi" w:hAnsiTheme="minorHAnsi" w:cstheme="minorHAnsi"/>
        </w:rPr>
        <w:t xml:space="preserve"> are recommended to be deleted.</w:t>
      </w:r>
    </w:p>
    <w:p w14:paraId="02A771AA" w14:textId="77777777" w:rsidR="009132DC" w:rsidRPr="00EA2FD0" w:rsidRDefault="00EA2FD0" w:rsidP="00EA2FD0">
      <w:pPr>
        <w:pStyle w:val="paragraph"/>
        <w:spacing w:before="0" w:beforeAutospacing="0" w:after="120" w:afterAutospacing="0"/>
        <w:ind w:left="720"/>
        <w:textAlignment w:val="baseline"/>
        <w:rPr>
          <w:rFonts w:asciiTheme="minorHAnsi" w:hAnsiTheme="minorHAnsi" w:cstheme="minorHAnsi"/>
          <w:i/>
          <w:iCs/>
        </w:rPr>
      </w:pPr>
      <w:r w:rsidRPr="00EA2FD0">
        <w:rPr>
          <w:rStyle w:val="normaltextrun"/>
          <w:rFonts w:asciiTheme="minorHAnsi" w:hAnsiTheme="minorHAnsi" w:cstheme="minorHAnsi"/>
          <w:i/>
          <w:iCs/>
        </w:rPr>
        <w:t>“</w:t>
      </w:r>
      <w:r w:rsidR="009132DC" w:rsidRPr="00EA2FD0">
        <w:rPr>
          <w:rStyle w:val="normaltextrun"/>
          <w:rFonts w:asciiTheme="minorHAnsi" w:hAnsiTheme="minorHAnsi" w:cstheme="minorHAnsi"/>
          <w:i/>
          <w:iCs/>
        </w:rPr>
        <w:t>C. CRITERIA DEFINING THE AREAS WITHIN THE AQUIFER PROTECTION DISTRICT</w:t>
      </w:r>
      <w:r w:rsidR="009132DC" w:rsidRPr="00EA2FD0">
        <w:rPr>
          <w:rStyle w:val="eop"/>
          <w:rFonts w:asciiTheme="minorHAnsi" w:hAnsiTheme="minorHAnsi" w:cstheme="minorHAnsi"/>
          <w:i/>
          <w:iCs/>
        </w:rPr>
        <w:t> </w:t>
      </w:r>
    </w:p>
    <w:p w14:paraId="6CC03C54" w14:textId="0E109336" w:rsidR="009132DC" w:rsidRPr="00EA2FD0" w:rsidRDefault="009132DC" w:rsidP="00EA2FD0">
      <w:pPr>
        <w:pStyle w:val="paragraph"/>
        <w:spacing w:before="0" w:beforeAutospacing="0" w:after="120" w:afterAutospacing="0"/>
        <w:ind w:left="720"/>
        <w:textAlignment w:val="baseline"/>
        <w:rPr>
          <w:rFonts w:asciiTheme="minorHAnsi" w:hAnsiTheme="minorHAnsi" w:cstheme="minorHAnsi"/>
          <w:i/>
          <w:iCs/>
        </w:rPr>
      </w:pPr>
      <w:r w:rsidRPr="00EA2FD0">
        <w:rPr>
          <w:rStyle w:val="normaltextrun"/>
          <w:rFonts w:asciiTheme="minorHAnsi" w:hAnsiTheme="minorHAnsi" w:cstheme="minorHAnsi"/>
          <w:i/>
          <w:iCs/>
        </w:rPr>
        <w:t xml:space="preserve">For the purposes of this district, there are hereby established within the Town, </w:t>
      </w:r>
      <w:r w:rsidR="005E3C82" w:rsidRPr="00F4555C">
        <w:rPr>
          <w:rStyle w:val="normaltextrun"/>
          <w:rFonts w:asciiTheme="minorHAnsi" w:hAnsiTheme="minorHAnsi" w:cstheme="minorHAnsi"/>
          <w:b/>
          <w:bCs/>
          <w:i/>
          <w:iCs/>
        </w:rPr>
        <w:t>three (3)</w:t>
      </w:r>
      <w:r w:rsidR="005E3C82" w:rsidRPr="00F4555C">
        <w:rPr>
          <w:rStyle w:val="normaltextrun"/>
          <w:rFonts w:asciiTheme="minorHAnsi" w:hAnsiTheme="minorHAnsi" w:cstheme="minorHAnsi"/>
          <w:i/>
          <w:iCs/>
        </w:rPr>
        <w:t xml:space="preserve"> </w:t>
      </w:r>
      <w:r w:rsidRPr="00F4555C">
        <w:rPr>
          <w:rStyle w:val="normaltextrun"/>
          <w:rFonts w:asciiTheme="minorHAnsi" w:hAnsiTheme="minorHAnsi" w:cstheme="minorHAnsi"/>
          <w:i/>
          <w:iCs/>
          <w:strike/>
        </w:rPr>
        <w:t>four (4)</w:t>
      </w:r>
      <w:r w:rsidRPr="00EA2FD0">
        <w:rPr>
          <w:rStyle w:val="normaltextrun"/>
          <w:rFonts w:asciiTheme="minorHAnsi" w:hAnsiTheme="minorHAnsi" w:cstheme="minorHAnsi"/>
          <w:i/>
          <w:iCs/>
        </w:rPr>
        <w:t xml:space="preserve"> Aquifer Protection District Areas, consisting of Zone I, Zone II, </w:t>
      </w:r>
      <w:r w:rsidRPr="00EA2FD0">
        <w:rPr>
          <w:rStyle w:val="normaltextrun"/>
          <w:rFonts w:asciiTheme="minorHAnsi" w:hAnsiTheme="minorHAnsi" w:cstheme="minorHAnsi"/>
          <w:b/>
          <w:bCs/>
          <w:i/>
          <w:iCs/>
        </w:rPr>
        <w:t>and</w:t>
      </w:r>
      <w:r w:rsidRPr="00EA2FD0">
        <w:rPr>
          <w:rStyle w:val="normaltextrun"/>
          <w:rFonts w:asciiTheme="minorHAnsi" w:hAnsiTheme="minorHAnsi" w:cstheme="minorHAnsi"/>
          <w:i/>
          <w:iCs/>
        </w:rPr>
        <w:t xml:space="preserve"> Zone III</w:t>
      </w:r>
      <w:r w:rsidRPr="001B25B3">
        <w:rPr>
          <w:rStyle w:val="normaltextrun"/>
          <w:rFonts w:asciiTheme="minorHAnsi" w:hAnsiTheme="minorHAnsi" w:cstheme="minorHAnsi"/>
          <w:i/>
          <w:iCs/>
          <w:strike/>
        </w:rPr>
        <w:t xml:space="preserve">, </w:t>
      </w:r>
      <w:r w:rsidRPr="00EA2FD0">
        <w:rPr>
          <w:rStyle w:val="normaltextrun"/>
          <w:rFonts w:asciiTheme="minorHAnsi" w:hAnsiTheme="minorHAnsi" w:cstheme="minorHAnsi"/>
          <w:i/>
          <w:iCs/>
          <w:strike/>
        </w:rPr>
        <w:t>and an Interim Wellhead Protection Area</w:t>
      </w:r>
      <w:r w:rsidRPr="00EA2FD0">
        <w:rPr>
          <w:rStyle w:val="normaltextrun"/>
          <w:rFonts w:asciiTheme="minorHAnsi" w:hAnsiTheme="minorHAnsi" w:cstheme="minorHAnsi"/>
          <w:i/>
          <w:iCs/>
        </w:rPr>
        <w:t>. The criteria used to delineate these areas are set forth in the Massachusetts Drinking Water Regulations, 310 CMR 22.02, and are described in the Source Water Assessment Program Reports prepared by the Massachusetts Department of Environmental Protection for the Whately Water District (January 14, 2002) and the Whately Water Department (November 27, 2002).</w:t>
      </w:r>
      <w:r w:rsidRPr="00EA2FD0">
        <w:rPr>
          <w:rStyle w:val="eop"/>
          <w:rFonts w:asciiTheme="minorHAnsi" w:hAnsiTheme="minorHAnsi" w:cstheme="minorHAnsi"/>
          <w:i/>
          <w:iCs/>
        </w:rPr>
        <w:t> </w:t>
      </w:r>
    </w:p>
    <w:p w14:paraId="25D75DDA" w14:textId="77777777" w:rsidR="009132DC" w:rsidRPr="00EA2FD0" w:rsidRDefault="009132DC" w:rsidP="00EA2FD0">
      <w:pPr>
        <w:pStyle w:val="paragraph"/>
        <w:numPr>
          <w:ilvl w:val="0"/>
          <w:numId w:val="3"/>
        </w:numPr>
        <w:spacing w:before="0" w:beforeAutospacing="0" w:after="120" w:afterAutospacing="0"/>
        <w:ind w:left="1080" w:firstLine="0"/>
        <w:textAlignment w:val="baseline"/>
        <w:rPr>
          <w:rFonts w:asciiTheme="minorHAnsi" w:hAnsiTheme="minorHAnsi" w:cstheme="minorHAnsi"/>
          <w:i/>
          <w:iCs/>
        </w:rPr>
      </w:pPr>
      <w:r w:rsidRPr="00EA2FD0">
        <w:rPr>
          <w:rStyle w:val="normaltextrun"/>
          <w:rFonts w:asciiTheme="minorHAnsi" w:hAnsiTheme="minorHAnsi" w:cstheme="minorHAnsi"/>
          <w:i/>
          <w:iCs/>
        </w:rPr>
        <w:t xml:space="preserve">Zone I – The protective radius around a public water supply well that should be owned or controlled by the water supplier. </w:t>
      </w:r>
      <w:r w:rsidRPr="00EA2FD0">
        <w:rPr>
          <w:rStyle w:val="normaltextrun"/>
          <w:rFonts w:asciiTheme="minorHAnsi" w:hAnsiTheme="minorHAnsi" w:cstheme="minorHAnsi"/>
          <w:i/>
          <w:iCs/>
          <w:strike/>
        </w:rPr>
        <w:t>For the two (2) Water District wells, the protective radius is 245 feet around each well.</w:t>
      </w:r>
      <w:r w:rsidRPr="00EA2FD0">
        <w:rPr>
          <w:rStyle w:val="normaltextrun"/>
          <w:rFonts w:asciiTheme="minorHAnsi" w:hAnsiTheme="minorHAnsi" w:cstheme="minorHAnsi"/>
          <w:i/>
          <w:iCs/>
        </w:rPr>
        <w:t xml:space="preserve"> For the two (2) Water Department wells, the protective radius is 400 feet around each well.</w:t>
      </w:r>
      <w:r w:rsidRPr="00EA2FD0">
        <w:rPr>
          <w:rStyle w:val="eop"/>
          <w:rFonts w:asciiTheme="minorHAnsi" w:hAnsiTheme="minorHAnsi" w:cstheme="minorHAnsi"/>
          <w:i/>
          <w:iCs/>
        </w:rPr>
        <w:t> </w:t>
      </w:r>
    </w:p>
    <w:p w14:paraId="52383E00" w14:textId="77777777" w:rsidR="009132DC" w:rsidRPr="00EA2FD0" w:rsidRDefault="009132DC" w:rsidP="00EA2FD0">
      <w:pPr>
        <w:pStyle w:val="paragraph"/>
        <w:numPr>
          <w:ilvl w:val="0"/>
          <w:numId w:val="4"/>
        </w:numPr>
        <w:tabs>
          <w:tab w:val="clear" w:pos="1980"/>
        </w:tabs>
        <w:spacing w:before="0" w:beforeAutospacing="0" w:after="120" w:afterAutospacing="0"/>
        <w:ind w:left="1080" w:firstLine="0"/>
        <w:textAlignment w:val="baseline"/>
        <w:rPr>
          <w:rFonts w:asciiTheme="minorHAnsi" w:hAnsiTheme="minorHAnsi" w:cstheme="minorHAnsi"/>
          <w:i/>
          <w:iCs/>
        </w:rPr>
      </w:pPr>
      <w:r w:rsidRPr="00EA2FD0">
        <w:rPr>
          <w:rStyle w:val="normaltextrun"/>
          <w:rFonts w:asciiTheme="minorHAnsi" w:hAnsiTheme="minorHAnsi" w:cstheme="minorHAnsi"/>
          <w:i/>
          <w:iCs/>
        </w:rPr>
        <w:t xml:space="preserve">Zone II – The area of an aquifer which contributes water to a well under the most severe pumping and recharge conditions that can be realistically anticipated (180 days of pumping at approved yield, with no recharge from precipitation). It is bounded by the groundwater divides which result from pumping the well and by the contact of the aquifer with less permeable materials such as till or bedrock. In some cases, streams or lakes may act as recharge boundaries. In all cases, Zone II shall extend upgradient to its point of intersection with prevailing hydrogeologic </w:t>
      </w:r>
      <w:r w:rsidRPr="00EA2FD0">
        <w:rPr>
          <w:rStyle w:val="normaltextrun"/>
          <w:rFonts w:asciiTheme="minorHAnsi" w:hAnsiTheme="minorHAnsi" w:cstheme="minorHAnsi"/>
          <w:i/>
          <w:iCs/>
        </w:rPr>
        <w:lastRenderedPageBreak/>
        <w:t>boundaries (a groundwater flow divide, a contact with till or bedrock, or a recharge boundary).</w:t>
      </w:r>
      <w:r w:rsidRPr="00EA2FD0">
        <w:rPr>
          <w:rStyle w:val="eop"/>
          <w:rFonts w:asciiTheme="minorHAnsi" w:hAnsiTheme="minorHAnsi" w:cstheme="minorHAnsi"/>
          <w:i/>
          <w:iCs/>
        </w:rPr>
        <w:t> </w:t>
      </w:r>
    </w:p>
    <w:p w14:paraId="52AF5C9E" w14:textId="77777777" w:rsidR="009132DC" w:rsidRPr="00EA2FD0" w:rsidRDefault="009132DC" w:rsidP="00EA2FD0">
      <w:pPr>
        <w:pStyle w:val="paragraph"/>
        <w:numPr>
          <w:ilvl w:val="0"/>
          <w:numId w:val="5"/>
        </w:numPr>
        <w:spacing w:before="0" w:beforeAutospacing="0" w:after="120" w:afterAutospacing="0"/>
        <w:ind w:left="1080" w:firstLine="0"/>
        <w:textAlignment w:val="baseline"/>
        <w:rPr>
          <w:rFonts w:asciiTheme="minorHAnsi" w:hAnsiTheme="minorHAnsi" w:cstheme="minorHAnsi"/>
          <w:i/>
          <w:iCs/>
          <w:strike/>
        </w:rPr>
      </w:pPr>
      <w:r w:rsidRPr="00EA2FD0">
        <w:rPr>
          <w:rStyle w:val="normaltextrun"/>
          <w:rFonts w:asciiTheme="minorHAnsi" w:hAnsiTheme="minorHAnsi" w:cstheme="minorHAnsi"/>
          <w:i/>
          <w:iCs/>
          <w:strike/>
        </w:rPr>
        <w:t>Interim Wellhead Protection Area (IWPA) – The Massachusetts Department of Environmental Protection established an Interim Wellhead Protection Area (IWPA) for each of the Whately Water District Wells. The IWPA is a circle around each well that has a radius of 605 feet.</w:t>
      </w:r>
      <w:r w:rsidRPr="00EA2FD0">
        <w:rPr>
          <w:rStyle w:val="eop"/>
          <w:rFonts w:asciiTheme="minorHAnsi" w:hAnsiTheme="minorHAnsi" w:cstheme="minorHAnsi"/>
          <w:i/>
          <w:iCs/>
          <w:strike/>
        </w:rPr>
        <w:t> </w:t>
      </w:r>
    </w:p>
    <w:p w14:paraId="2C80F257" w14:textId="77777777" w:rsidR="009132DC" w:rsidRDefault="009132DC" w:rsidP="001B25B3">
      <w:pPr>
        <w:pStyle w:val="paragraph"/>
        <w:numPr>
          <w:ilvl w:val="0"/>
          <w:numId w:val="6"/>
        </w:numPr>
        <w:spacing w:before="0" w:beforeAutospacing="0" w:after="120" w:afterAutospacing="0"/>
        <w:ind w:left="1080" w:firstLine="0"/>
        <w:textAlignment w:val="baseline"/>
        <w:rPr>
          <w:rStyle w:val="eop"/>
          <w:rFonts w:asciiTheme="minorHAnsi" w:hAnsiTheme="minorHAnsi" w:cstheme="minorHAnsi"/>
          <w:i/>
          <w:iCs/>
        </w:rPr>
      </w:pPr>
      <w:r w:rsidRPr="00EA2FD0">
        <w:rPr>
          <w:rStyle w:val="normaltextrun"/>
          <w:rFonts w:asciiTheme="minorHAnsi" w:hAnsiTheme="minorHAnsi" w:cstheme="minorHAnsi"/>
          <w:i/>
          <w:iCs/>
        </w:rPr>
        <w:t xml:space="preserve">Zone III – Means that land area beyond the area of Zone II </w:t>
      </w:r>
      <w:r w:rsidRPr="00EA2FD0">
        <w:rPr>
          <w:rStyle w:val="normaltextrun"/>
          <w:rFonts w:asciiTheme="minorHAnsi" w:hAnsiTheme="minorHAnsi" w:cstheme="minorHAnsi"/>
          <w:i/>
          <w:iCs/>
          <w:strike/>
        </w:rPr>
        <w:t>and the IWPA</w:t>
      </w:r>
      <w:r w:rsidRPr="00EA2FD0">
        <w:rPr>
          <w:rStyle w:val="normaltextrun"/>
          <w:rFonts w:asciiTheme="minorHAnsi" w:hAnsiTheme="minorHAnsi" w:cstheme="minorHAnsi"/>
          <w:i/>
          <w:iCs/>
        </w:rPr>
        <w:t xml:space="preserve"> from which surface water and groundwater drain into Zone II </w:t>
      </w:r>
      <w:r w:rsidRPr="00EA2FD0">
        <w:rPr>
          <w:rStyle w:val="normaltextrun"/>
          <w:rFonts w:asciiTheme="minorHAnsi" w:hAnsiTheme="minorHAnsi" w:cstheme="minorHAnsi"/>
          <w:i/>
          <w:iCs/>
          <w:strike/>
        </w:rPr>
        <w:t>and the IWPA</w:t>
      </w:r>
      <w:r w:rsidRPr="00EA2FD0">
        <w:rPr>
          <w:rStyle w:val="normaltextrun"/>
          <w:rFonts w:asciiTheme="minorHAnsi" w:hAnsiTheme="minorHAnsi" w:cstheme="minorHAnsi"/>
          <w:i/>
          <w:iCs/>
        </w:rPr>
        <w:t>. The surface drainage area as determined by topography is commonly coincident with the groundwater drainage area and will be used to delineate Zone III. In some locations, where surface and groundwater drainage are not coincident, Zone III shall consist of both the surface drainage and the groundwater drainage areas</w:t>
      </w:r>
      <w:r w:rsidR="001B25B3">
        <w:rPr>
          <w:rStyle w:val="normaltextrun"/>
          <w:rFonts w:asciiTheme="minorHAnsi" w:hAnsiTheme="minorHAnsi" w:cstheme="minorHAnsi"/>
          <w:i/>
          <w:iCs/>
        </w:rPr>
        <w:t>.</w:t>
      </w:r>
    </w:p>
    <w:p w14:paraId="69DDBE62" w14:textId="38FA7ED2" w:rsidR="001B25B3" w:rsidRPr="001B25B3" w:rsidRDefault="001B25B3" w:rsidP="001B25B3">
      <w:pPr>
        <w:pStyle w:val="paragraph"/>
        <w:spacing w:before="0" w:beforeAutospacing="0" w:after="120" w:afterAutospacing="0"/>
        <w:ind w:left="720"/>
        <w:textAlignment w:val="baseline"/>
        <w:rPr>
          <w:rStyle w:val="eop"/>
          <w:rFonts w:asciiTheme="minorHAnsi" w:hAnsiTheme="minorHAnsi" w:cstheme="minorHAnsi"/>
          <w:i/>
          <w:iCs/>
        </w:rPr>
      </w:pPr>
      <w:r w:rsidRPr="001B25B3">
        <w:rPr>
          <w:rStyle w:val="eop"/>
          <w:rFonts w:asciiTheme="minorHAnsi" w:hAnsiTheme="minorHAnsi" w:cstheme="minorHAnsi"/>
          <w:i/>
          <w:iCs/>
        </w:rPr>
        <w:t>E.  PROHIBITED USES</w:t>
      </w:r>
      <w:r w:rsidRPr="001B25B3">
        <w:rPr>
          <w:rStyle w:val="eop"/>
          <w:rFonts w:asciiTheme="minorHAnsi" w:hAnsiTheme="minorHAnsi" w:cstheme="minorHAnsi"/>
          <w:i/>
          <w:iCs/>
        </w:rPr>
        <w:tab/>
      </w:r>
    </w:p>
    <w:p w14:paraId="7ADD9A14" w14:textId="77777777" w:rsidR="001B25B3" w:rsidRPr="001B25B3" w:rsidRDefault="001B25B3" w:rsidP="001B25B3">
      <w:pPr>
        <w:pStyle w:val="paragraph"/>
        <w:spacing w:before="0" w:beforeAutospacing="0" w:after="120" w:afterAutospacing="0"/>
        <w:ind w:left="1080"/>
        <w:textAlignment w:val="baseline"/>
        <w:rPr>
          <w:rStyle w:val="eop"/>
          <w:rFonts w:asciiTheme="minorHAnsi" w:hAnsiTheme="minorHAnsi" w:cstheme="minorHAnsi"/>
          <w:i/>
          <w:iCs/>
        </w:rPr>
      </w:pPr>
      <w:r w:rsidRPr="001B25B3">
        <w:rPr>
          <w:rStyle w:val="eop"/>
          <w:rFonts w:asciiTheme="minorHAnsi" w:hAnsiTheme="minorHAnsi" w:cstheme="minorHAnsi"/>
          <w:i/>
          <w:iCs/>
        </w:rPr>
        <w:t xml:space="preserve">2. The following uses are prohibited within Zone I, Zone II, </w:t>
      </w:r>
      <w:r w:rsidRPr="00F4555C">
        <w:rPr>
          <w:rStyle w:val="eop"/>
          <w:rFonts w:asciiTheme="minorHAnsi" w:hAnsiTheme="minorHAnsi" w:cstheme="minorHAnsi"/>
          <w:b/>
          <w:bCs/>
          <w:i/>
          <w:iCs/>
        </w:rPr>
        <w:t>and</w:t>
      </w:r>
      <w:r w:rsidRPr="001B25B3">
        <w:rPr>
          <w:rStyle w:val="eop"/>
          <w:rFonts w:asciiTheme="minorHAnsi" w:hAnsiTheme="minorHAnsi" w:cstheme="minorHAnsi"/>
          <w:i/>
          <w:iCs/>
        </w:rPr>
        <w:t xml:space="preserve"> Zone III </w:t>
      </w:r>
      <w:r w:rsidRPr="001B25B3">
        <w:rPr>
          <w:rStyle w:val="eop"/>
          <w:rFonts w:asciiTheme="minorHAnsi" w:hAnsiTheme="minorHAnsi" w:cstheme="minorHAnsi"/>
          <w:i/>
          <w:iCs/>
          <w:strike/>
        </w:rPr>
        <w:t>and the Interim Wellhead Protection Area (IWPA)</w:t>
      </w:r>
      <w:r w:rsidRPr="001B25B3">
        <w:rPr>
          <w:rStyle w:val="eop"/>
          <w:rFonts w:asciiTheme="minorHAnsi" w:hAnsiTheme="minorHAnsi" w:cstheme="minorHAnsi"/>
          <w:i/>
          <w:iCs/>
        </w:rPr>
        <w:t>:</w:t>
      </w:r>
    </w:p>
    <w:p w14:paraId="226CE15C" w14:textId="77777777" w:rsidR="001B25B3" w:rsidRPr="001B25B3" w:rsidRDefault="001B25B3" w:rsidP="001B25B3">
      <w:pPr>
        <w:pStyle w:val="paragraph"/>
        <w:spacing w:before="0" w:beforeAutospacing="0" w:after="120" w:afterAutospacing="0"/>
        <w:ind w:left="720"/>
        <w:textAlignment w:val="baseline"/>
        <w:rPr>
          <w:rStyle w:val="eop"/>
          <w:rFonts w:asciiTheme="minorHAnsi" w:hAnsiTheme="minorHAnsi" w:cstheme="minorHAnsi"/>
          <w:i/>
          <w:iCs/>
        </w:rPr>
      </w:pPr>
      <w:r w:rsidRPr="001B25B3">
        <w:rPr>
          <w:rStyle w:val="eop"/>
          <w:rFonts w:asciiTheme="minorHAnsi" w:hAnsiTheme="minorHAnsi" w:cstheme="minorHAnsi"/>
          <w:i/>
          <w:iCs/>
        </w:rPr>
        <w:t>F. DIMENSIONAL REQUIREMENTS FOR THE AQUIFER PROTECTION DISTRICT</w:t>
      </w:r>
    </w:p>
    <w:p w14:paraId="460E5612" w14:textId="77777777" w:rsidR="001B25B3" w:rsidRPr="001B25B3" w:rsidRDefault="001B25B3" w:rsidP="001B25B3">
      <w:pPr>
        <w:pStyle w:val="paragraph"/>
        <w:spacing w:before="0" w:beforeAutospacing="0" w:after="120" w:afterAutospacing="0"/>
        <w:ind w:left="1080"/>
        <w:textAlignment w:val="baseline"/>
        <w:rPr>
          <w:rStyle w:val="eop"/>
          <w:rFonts w:asciiTheme="minorHAnsi" w:hAnsiTheme="minorHAnsi" w:cstheme="minorHAnsi"/>
          <w:i/>
          <w:iCs/>
        </w:rPr>
      </w:pPr>
      <w:r w:rsidRPr="001B25B3">
        <w:rPr>
          <w:rStyle w:val="eop"/>
          <w:rFonts w:asciiTheme="minorHAnsi" w:hAnsiTheme="minorHAnsi" w:cstheme="minorHAnsi"/>
          <w:i/>
          <w:iCs/>
        </w:rPr>
        <w:t>(1) Within Zone II</w:t>
      </w:r>
      <w:r w:rsidRPr="001B25B3">
        <w:rPr>
          <w:rStyle w:val="eop"/>
          <w:rFonts w:asciiTheme="minorHAnsi" w:hAnsiTheme="minorHAnsi" w:cstheme="minorHAnsi"/>
          <w:i/>
          <w:iCs/>
          <w:strike/>
        </w:rPr>
        <w:t>, the Interim Wellhead Protection Area,</w:t>
      </w:r>
      <w:r w:rsidRPr="001B25B3">
        <w:rPr>
          <w:rStyle w:val="eop"/>
          <w:rFonts w:asciiTheme="minorHAnsi" w:hAnsiTheme="minorHAnsi" w:cstheme="minorHAnsi"/>
          <w:i/>
          <w:iCs/>
        </w:rPr>
        <w:t xml:space="preserve"> and </w:t>
      </w:r>
      <w:r w:rsidRPr="001B25B3">
        <w:rPr>
          <w:rStyle w:val="eop"/>
          <w:rFonts w:asciiTheme="minorHAnsi" w:hAnsiTheme="minorHAnsi" w:cstheme="minorHAnsi"/>
          <w:i/>
          <w:iCs/>
          <w:strike/>
        </w:rPr>
        <w:t xml:space="preserve">the </w:t>
      </w:r>
      <w:r w:rsidRPr="001B25B3">
        <w:rPr>
          <w:rStyle w:val="eop"/>
          <w:rFonts w:asciiTheme="minorHAnsi" w:hAnsiTheme="minorHAnsi" w:cstheme="minorHAnsi"/>
          <w:i/>
          <w:iCs/>
        </w:rPr>
        <w:t>Zone III, the minimum lot size for all uses is three (3) acres. A lot must have two hundred (200) feet of frontage on a street. The lot must comply with the dimensional requirements of the underlying zoning district for Front Yards and Rear Side Yards. Flag lots in these areas, excluding the access strip, shall be at least three (3) acres.</w:t>
      </w:r>
    </w:p>
    <w:p w14:paraId="2F08CD9A" w14:textId="77777777" w:rsidR="001B25B3" w:rsidRPr="001B25B3" w:rsidRDefault="001B25B3" w:rsidP="001B25B3">
      <w:pPr>
        <w:pStyle w:val="paragraph"/>
        <w:spacing w:before="0" w:beforeAutospacing="0" w:after="120" w:afterAutospacing="0"/>
        <w:ind w:left="1080"/>
        <w:textAlignment w:val="baseline"/>
        <w:rPr>
          <w:rStyle w:val="eop"/>
          <w:rFonts w:asciiTheme="minorHAnsi" w:hAnsiTheme="minorHAnsi" w:cstheme="minorHAnsi"/>
          <w:i/>
          <w:iCs/>
        </w:rPr>
      </w:pPr>
      <w:r w:rsidRPr="001B25B3">
        <w:rPr>
          <w:rStyle w:val="eop"/>
          <w:rFonts w:asciiTheme="minorHAnsi" w:hAnsiTheme="minorHAnsi" w:cstheme="minorHAnsi"/>
          <w:i/>
          <w:iCs/>
        </w:rPr>
        <w:t>(2) Within Zone II</w:t>
      </w:r>
      <w:r w:rsidRPr="001B25B3">
        <w:rPr>
          <w:rStyle w:val="eop"/>
          <w:rFonts w:asciiTheme="minorHAnsi" w:hAnsiTheme="minorHAnsi" w:cstheme="minorHAnsi"/>
          <w:i/>
          <w:iCs/>
          <w:u w:val="single"/>
        </w:rPr>
        <w:t>, the Interim Wellhead Protection Area,</w:t>
      </w:r>
      <w:r w:rsidRPr="001B25B3">
        <w:rPr>
          <w:rStyle w:val="eop"/>
          <w:rFonts w:asciiTheme="minorHAnsi" w:hAnsiTheme="minorHAnsi" w:cstheme="minorHAnsi"/>
          <w:i/>
          <w:iCs/>
        </w:rPr>
        <w:t xml:space="preserve"> and </w:t>
      </w:r>
      <w:r w:rsidRPr="001B25B3">
        <w:rPr>
          <w:rStyle w:val="eop"/>
          <w:rFonts w:asciiTheme="minorHAnsi" w:hAnsiTheme="minorHAnsi" w:cstheme="minorHAnsi"/>
          <w:i/>
          <w:iCs/>
          <w:strike/>
        </w:rPr>
        <w:t>the</w:t>
      </w:r>
      <w:r w:rsidRPr="001B25B3">
        <w:rPr>
          <w:rStyle w:val="eop"/>
          <w:rFonts w:asciiTheme="minorHAnsi" w:hAnsiTheme="minorHAnsi" w:cstheme="minorHAnsi"/>
          <w:i/>
          <w:iCs/>
        </w:rPr>
        <w:t xml:space="preserve"> Zone III, the maximum lot coverage shall not exceed ten percent (10%) of the lot.</w:t>
      </w:r>
      <w:r>
        <w:rPr>
          <w:rStyle w:val="eop"/>
          <w:rFonts w:asciiTheme="minorHAnsi" w:hAnsiTheme="minorHAnsi" w:cstheme="minorHAnsi"/>
          <w:i/>
          <w:iCs/>
        </w:rPr>
        <w:t>”</w:t>
      </w:r>
    </w:p>
    <w:p w14:paraId="7FC45758" w14:textId="77777777" w:rsidR="001B25B3" w:rsidRDefault="001B25B3" w:rsidP="001B25B3">
      <w:pPr>
        <w:pStyle w:val="paragraph"/>
        <w:spacing w:before="0" w:beforeAutospacing="0" w:after="120" w:afterAutospacing="0"/>
        <w:ind w:left="720"/>
        <w:textAlignment w:val="baseline"/>
        <w:rPr>
          <w:rStyle w:val="eop"/>
          <w:rFonts w:asciiTheme="minorHAnsi" w:hAnsiTheme="minorHAnsi" w:cstheme="minorHAnsi"/>
          <w:i/>
          <w:iCs/>
        </w:rPr>
      </w:pPr>
    </w:p>
    <w:p w14:paraId="2A57D956" w14:textId="353475D3" w:rsidR="001B25B3" w:rsidRPr="00B6223F" w:rsidRDefault="00FC65D7" w:rsidP="00FC65D7">
      <w:pPr>
        <w:pStyle w:val="paragraph"/>
        <w:spacing w:before="0" w:beforeAutospacing="0" w:after="120" w:afterAutospacing="0"/>
        <w:textAlignment w:val="baseline"/>
        <w:rPr>
          <w:rStyle w:val="eop"/>
          <w:rFonts w:asciiTheme="minorHAnsi" w:hAnsiTheme="minorHAnsi" w:cstheme="minorHAnsi"/>
          <w:u w:val="single"/>
        </w:rPr>
      </w:pPr>
      <w:r w:rsidRPr="00B6223F">
        <w:rPr>
          <w:rStyle w:val="eop"/>
          <w:rFonts w:asciiTheme="minorHAnsi" w:hAnsiTheme="minorHAnsi" w:cstheme="minorHAnsi"/>
          <w:u w:val="single"/>
        </w:rPr>
        <w:t>3.  Corrections to the Town of Whately Zoning Map</w:t>
      </w:r>
      <w:r w:rsidR="008333BF">
        <w:rPr>
          <w:rStyle w:val="eop"/>
          <w:rFonts w:asciiTheme="minorHAnsi" w:hAnsiTheme="minorHAnsi" w:cstheme="minorHAnsi"/>
          <w:u w:val="single"/>
        </w:rPr>
        <w:t xml:space="preserve"> as shown in the draft Zoning Map dated April 6,</w:t>
      </w:r>
      <w:r w:rsidR="00C93716">
        <w:rPr>
          <w:rStyle w:val="eop"/>
          <w:rFonts w:asciiTheme="minorHAnsi" w:hAnsiTheme="minorHAnsi" w:cstheme="minorHAnsi"/>
          <w:u w:val="single"/>
        </w:rPr>
        <w:t xml:space="preserve"> </w:t>
      </w:r>
      <w:r w:rsidR="008333BF">
        <w:rPr>
          <w:rStyle w:val="eop"/>
          <w:rFonts w:asciiTheme="minorHAnsi" w:hAnsiTheme="minorHAnsi" w:cstheme="minorHAnsi"/>
          <w:u w:val="single"/>
        </w:rPr>
        <w:t>2023</w:t>
      </w:r>
      <w:r w:rsidRPr="00B6223F">
        <w:rPr>
          <w:rStyle w:val="eop"/>
          <w:rFonts w:asciiTheme="minorHAnsi" w:hAnsiTheme="minorHAnsi" w:cstheme="minorHAnsi"/>
          <w:u w:val="single"/>
        </w:rPr>
        <w:t>.</w:t>
      </w:r>
    </w:p>
    <w:p w14:paraId="07397038" w14:textId="77777777" w:rsidR="00FC65D7" w:rsidRDefault="00FC65D7" w:rsidP="00FC65D7">
      <w:pPr>
        <w:pStyle w:val="paragraph"/>
        <w:spacing w:before="0" w:beforeAutospacing="0" w:after="120" w:afterAutospacing="0"/>
        <w:ind w:left="720"/>
        <w:textAlignment w:val="baseline"/>
        <w:rPr>
          <w:rStyle w:val="eop"/>
          <w:rFonts w:asciiTheme="minorHAnsi" w:hAnsiTheme="minorHAnsi" w:cstheme="minorHAnsi"/>
        </w:rPr>
      </w:pPr>
      <w:r>
        <w:rPr>
          <w:rStyle w:val="eop"/>
          <w:rFonts w:asciiTheme="minorHAnsi" w:hAnsiTheme="minorHAnsi" w:cstheme="minorHAnsi"/>
        </w:rPr>
        <w:t xml:space="preserve">The zoning </w:t>
      </w:r>
      <w:r w:rsidR="00B6223F">
        <w:rPr>
          <w:rStyle w:val="eop"/>
          <w:rFonts w:asciiTheme="minorHAnsi" w:hAnsiTheme="minorHAnsi" w:cstheme="minorHAnsi"/>
        </w:rPr>
        <w:t xml:space="preserve">district </w:t>
      </w:r>
      <w:r>
        <w:rPr>
          <w:rStyle w:val="eop"/>
          <w:rFonts w:asciiTheme="minorHAnsi" w:hAnsiTheme="minorHAnsi" w:cstheme="minorHAnsi"/>
        </w:rPr>
        <w:t>depicted for several parcels on the current zoning map is incorrect.  The revised map contains the following corrections</w:t>
      </w:r>
      <w:r w:rsidR="00BB3889">
        <w:rPr>
          <w:rStyle w:val="eop"/>
          <w:rFonts w:asciiTheme="minorHAnsi" w:hAnsiTheme="minorHAnsi" w:cstheme="minorHAnsi"/>
        </w:rPr>
        <w:t xml:space="preserve"> to reflect the actual zoning</w:t>
      </w:r>
      <w:r>
        <w:rPr>
          <w:rStyle w:val="eop"/>
          <w:rFonts w:asciiTheme="minorHAnsi" w:hAnsiTheme="minorHAnsi" w:cstheme="minorHAnsi"/>
        </w:rPr>
        <w:t>:</w:t>
      </w:r>
    </w:p>
    <w:p w14:paraId="4192BBC2" w14:textId="646419DF" w:rsidR="00FC65D7" w:rsidRDefault="00FC65D7" w:rsidP="00FC65D7">
      <w:pPr>
        <w:pStyle w:val="paragraph"/>
        <w:numPr>
          <w:ilvl w:val="0"/>
          <w:numId w:val="12"/>
        </w:numPr>
        <w:spacing w:before="0" w:beforeAutospacing="0" w:after="120" w:afterAutospacing="0"/>
        <w:textAlignment w:val="baseline"/>
        <w:rPr>
          <w:rStyle w:val="eop"/>
          <w:rFonts w:asciiTheme="minorHAnsi" w:hAnsiTheme="minorHAnsi" w:cstheme="minorHAnsi"/>
        </w:rPr>
      </w:pPr>
      <w:r>
        <w:rPr>
          <w:rStyle w:val="eop"/>
          <w:rFonts w:asciiTheme="minorHAnsi" w:hAnsiTheme="minorHAnsi" w:cstheme="minorHAnsi"/>
        </w:rPr>
        <w:t>Parcels 6-0-25-26 through 6-0-25-38, parcels 6-0-25-42 through 6-0-25-44, parcels 6-0-31-6 through 6-1-31</w:t>
      </w:r>
      <w:r w:rsidR="00E117C7">
        <w:rPr>
          <w:rStyle w:val="eop"/>
          <w:rFonts w:asciiTheme="minorHAnsi" w:hAnsiTheme="minorHAnsi" w:cstheme="minorHAnsi"/>
        </w:rPr>
        <w:t xml:space="preserve">-22, and parcels 6-0-31-24 </w:t>
      </w:r>
      <w:r w:rsidR="008333BF">
        <w:rPr>
          <w:rStyle w:val="eop"/>
          <w:rFonts w:asciiTheme="minorHAnsi" w:hAnsiTheme="minorHAnsi" w:cstheme="minorHAnsi"/>
        </w:rPr>
        <w:t>and 6-0-31-</w:t>
      </w:r>
      <w:r w:rsidR="00C93716">
        <w:rPr>
          <w:rStyle w:val="eop"/>
          <w:rFonts w:asciiTheme="minorHAnsi" w:hAnsiTheme="minorHAnsi" w:cstheme="minorHAnsi"/>
        </w:rPr>
        <w:t>25 on</w:t>
      </w:r>
      <w:r>
        <w:rPr>
          <w:rStyle w:val="eop"/>
          <w:rFonts w:asciiTheme="minorHAnsi" w:hAnsiTheme="minorHAnsi" w:cstheme="minorHAnsi"/>
        </w:rPr>
        <w:t xml:space="preserve"> Eastwood Lane, Frances Way and Grey Oak Lane are shown as being in Ag/Residential 1 rather than Ag/Residential</w:t>
      </w:r>
      <w:r w:rsidR="00BB751C">
        <w:rPr>
          <w:rStyle w:val="eop"/>
          <w:rFonts w:asciiTheme="minorHAnsi" w:hAnsiTheme="minorHAnsi" w:cstheme="minorHAnsi"/>
        </w:rPr>
        <w:t xml:space="preserve"> </w:t>
      </w:r>
      <w:r w:rsidR="00B6223F">
        <w:rPr>
          <w:rStyle w:val="eop"/>
          <w:rFonts w:asciiTheme="minorHAnsi" w:hAnsiTheme="minorHAnsi" w:cstheme="minorHAnsi"/>
        </w:rPr>
        <w:t>2;</w:t>
      </w:r>
    </w:p>
    <w:p w14:paraId="3A28E759" w14:textId="5F7450BD" w:rsidR="008333BF" w:rsidRDefault="008333BF" w:rsidP="00FC65D7">
      <w:pPr>
        <w:pStyle w:val="paragraph"/>
        <w:numPr>
          <w:ilvl w:val="0"/>
          <w:numId w:val="12"/>
        </w:numPr>
        <w:spacing w:before="0" w:beforeAutospacing="0" w:after="120" w:afterAutospacing="0"/>
        <w:textAlignment w:val="baseline"/>
        <w:rPr>
          <w:rStyle w:val="eop"/>
          <w:rFonts w:asciiTheme="minorHAnsi" w:hAnsiTheme="minorHAnsi" w:cstheme="minorHAnsi"/>
        </w:rPr>
      </w:pPr>
      <w:r>
        <w:rPr>
          <w:rStyle w:val="eop"/>
          <w:rFonts w:asciiTheme="minorHAnsi" w:hAnsiTheme="minorHAnsi" w:cstheme="minorHAnsi"/>
        </w:rPr>
        <w:t>Parcels 6-0-25-23 and 6-0-31-23 are shown as being partly in Ag/Residential 1 and partly in Ag/Residential 2;</w:t>
      </w:r>
    </w:p>
    <w:p w14:paraId="3539C9C9" w14:textId="77777777" w:rsidR="00B6223F" w:rsidRDefault="00BB3889" w:rsidP="00FC65D7">
      <w:pPr>
        <w:pStyle w:val="paragraph"/>
        <w:numPr>
          <w:ilvl w:val="0"/>
          <w:numId w:val="12"/>
        </w:numPr>
        <w:spacing w:before="0" w:beforeAutospacing="0" w:after="120" w:afterAutospacing="0"/>
        <w:textAlignment w:val="baseline"/>
        <w:rPr>
          <w:rStyle w:val="eop"/>
          <w:rFonts w:asciiTheme="minorHAnsi" w:hAnsiTheme="minorHAnsi" w:cstheme="minorHAnsi"/>
        </w:rPr>
      </w:pPr>
      <w:r>
        <w:rPr>
          <w:rStyle w:val="eop"/>
          <w:rFonts w:asciiTheme="minorHAnsi" w:hAnsiTheme="minorHAnsi" w:cstheme="minorHAnsi"/>
        </w:rPr>
        <w:t>Parcels 20-0-34-4 through 20-0-34-6 on Mieczowski Circle are shown as being entirely within Ag/Residential 1 rather than being partly in Ag/Residential 2;</w:t>
      </w:r>
    </w:p>
    <w:p w14:paraId="1FA77CBD" w14:textId="52B9F129" w:rsidR="009132DC" w:rsidRPr="00F4555C" w:rsidRDefault="00BB3889" w:rsidP="00F4555C">
      <w:pPr>
        <w:pStyle w:val="ListParagraph"/>
        <w:numPr>
          <w:ilvl w:val="0"/>
          <w:numId w:val="12"/>
        </w:numPr>
        <w:rPr>
          <w:sz w:val="24"/>
          <w:szCs w:val="24"/>
        </w:rPr>
      </w:pPr>
      <w:r w:rsidRPr="00F4555C">
        <w:rPr>
          <w:rStyle w:val="eop"/>
          <w:rFonts w:cstheme="minorHAnsi"/>
        </w:rPr>
        <w:t>Parcel 12-0</w:t>
      </w:r>
      <w:r w:rsidR="0041393F">
        <w:rPr>
          <w:rStyle w:val="eop"/>
          <w:rFonts w:cstheme="minorHAnsi"/>
        </w:rPr>
        <w:t>- 2</w:t>
      </w:r>
      <w:r w:rsidRPr="00F4555C">
        <w:rPr>
          <w:rStyle w:val="eop"/>
          <w:rFonts w:cstheme="minorHAnsi"/>
        </w:rPr>
        <w:t>4-2 on State Road is shown as zoned Ag/Residential 1 and 2, not Commercial.</w:t>
      </w:r>
    </w:p>
    <w:sectPr w:rsidR="009132DC" w:rsidRPr="00F4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CC8"/>
    <w:multiLevelType w:val="hybridMultilevel"/>
    <w:tmpl w:val="A7F0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A126A"/>
    <w:multiLevelType w:val="hybridMultilevel"/>
    <w:tmpl w:val="859E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A3699"/>
    <w:multiLevelType w:val="hybridMultilevel"/>
    <w:tmpl w:val="3B7689C2"/>
    <w:lvl w:ilvl="0" w:tplc="9A8E9FDC">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3" w15:restartNumberingAfterBreak="0">
    <w:nsid w:val="368B2BAE"/>
    <w:multiLevelType w:val="multilevel"/>
    <w:tmpl w:val="DE2A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20EAE"/>
    <w:multiLevelType w:val="hybridMultilevel"/>
    <w:tmpl w:val="742A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911C9"/>
    <w:multiLevelType w:val="multilevel"/>
    <w:tmpl w:val="E398FD92"/>
    <w:lvl w:ilvl="0">
      <w:start w:val="3"/>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6" w15:restartNumberingAfterBreak="0">
    <w:nsid w:val="479B5C1A"/>
    <w:multiLevelType w:val="hybridMultilevel"/>
    <w:tmpl w:val="3CB8B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AD78CB"/>
    <w:multiLevelType w:val="hybridMultilevel"/>
    <w:tmpl w:val="3E34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B7FB9"/>
    <w:multiLevelType w:val="hybridMultilevel"/>
    <w:tmpl w:val="444C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76EF3"/>
    <w:multiLevelType w:val="multilevel"/>
    <w:tmpl w:val="7B747574"/>
    <w:lvl w:ilvl="0">
      <w:start w:val="2"/>
      <w:numFmt w:val="decimal"/>
      <w:lvlText w:val="%1."/>
      <w:lvlJc w:val="left"/>
      <w:pPr>
        <w:tabs>
          <w:tab w:val="num" w:pos="1980"/>
        </w:tabs>
        <w:ind w:left="1980" w:hanging="360"/>
      </w:p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10" w15:restartNumberingAfterBreak="0">
    <w:nsid w:val="69F53032"/>
    <w:multiLevelType w:val="multilevel"/>
    <w:tmpl w:val="596E2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BE628E"/>
    <w:multiLevelType w:val="hybridMultilevel"/>
    <w:tmpl w:val="DB20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021130">
    <w:abstractNumId w:val="1"/>
  </w:num>
  <w:num w:numId="2" w16cid:durableId="729957578">
    <w:abstractNumId w:val="2"/>
  </w:num>
  <w:num w:numId="3" w16cid:durableId="892547194">
    <w:abstractNumId w:val="3"/>
  </w:num>
  <w:num w:numId="4" w16cid:durableId="2017534588">
    <w:abstractNumId w:val="9"/>
  </w:num>
  <w:num w:numId="5" w16cid:durableId="586840881">
    <w:abstractNumId w:val="10"/>
  </w:num>
  <w:num w:numId="6" w16cid:durableId="1732269898">
    <w:abstractNumId w:val="5"/>
  </w:num>
  <w:num w:numId="7" w16cid:durableId="1326858962">
    <w:abstractNumId w:val="8"/>
  </w:num>
  <w:num w:numId="8" w16cid:durableId="877862779">
    <w:abstractNumId w:val="11"/>
  </w:num>
  <w:num w:numId="9" w16cid:durableId="725183685">
    <w:abstractNumId w:val="7"/>
  </w:num>
  <w:num w:numId="10" w16cid:durableId="893393025">
    <w:abstractNumId w:val="6"/>
  </w:num>
  <w:num w:numId="11" w16cid:durableId="192229320">
    <w:abstractNumId w:val="4"/>
  </w:num>
  <w:num w:numId="12" w16cid:durableId="93798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C0"/>
    <w:rsid w:val="000775C0"/>
    <w:rsid w:val="001B25B3"/>
    <w:rsid w:val="0022376D"/>
    <w:rsid w:val="00246E57"/>
    <w:rsid w:val="0041393F"/>
    <w:rsid w:val="005A4166"/>
    <w:rsid w:val="005C1CBC"/>
    <w:rsid w:val="005E3C82"/>
    <w:rsid w:val="00622D3E"/>
    <w:rsid w:val="00681590"/>
    <w:rsid w:val="008333BF"/>
    <w:rsid w:val="009132DC"/>
    <w:rsid w:val="009A62E8"/>
    <w:rsid w:val="00B6223F"/>
    <w:rsid w:val="00BB3889"/>
    <w:rsid w:val="00BB751C"/>
    <w:rsid w:val="00C34EED"/>
    <w:rsid w:val="00C93716"/>
    <w:rsid w:val="00CE0D7A"/>
    <w:rsid w:val="00DD2EBF"/>
    <w:rsid w:val="00E117C7"/>
    <w:rsid w:val="00E9340E"/>
    <w:rsid w:val="00EA2FD0"/>
    <w:rsid w:val="00F4555C"/>
    <w:rsid w:val="00FC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127E"/>
  <w15:chartTrackingRefBased/>
  <w15:docId w15:val="{C71D7D5F-B070-4C12-B905-5385859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C0"/>
    <w:pPr>
      <w:ind w:left="720"/>
      <w:contextualSpacing/>
    </w:pPr>
  </w:style>
  <w:style w:type="character" w:customStyle="1" w:styleId="normaltextrun">
    <w:name w:val="normaltextrun"/>
    <w:basedOn w:val="DefaultParagraphFont"/>
    <w:rsid w:val="000775C0"/>
  </w:style>
  <w:style w:type="paragraph" w:customStyle="1" w:styleId="paragraph">
    <w:name w:val="paragraph"/>
    <w:basedOn w:val="Normal"/>
    <w:rsid w:val="009132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9132DC"/>
  </w:style>
  <w:style w:type="paragraph" w:styleId="Revision">
    <w:name w:val="Revision"/>
    <w:hidden/>
    <w:uiPriority w:val="99"/>
    <w:semiHidden/>
    <w:rsid w:val="005E3C82"/>
    <w:pPr>
      <w:spacing w:after="0" w:line="240" w:lineRule="auto"/>
    </w:pPr>
  </w:style>
  <w:style w:type="character" w:styleId="CommentReference">
    <w:name w:val="annotation reference"/>
    <w:basedOn w:val="DefaultParagraphFont"/>
    <w:uiPriority w:val="99"/>
    <w:semiHidden/>
    <w:unhideWhenUsed/>
    <w:rsid w:val="00246E57"/>
    <w:rPr>
      <w:sz w:val="16"/>
      <w:szCs w:val="16"/>
    </w:rPr>
  </w:style>
  <w:style w:type="paragraph" w:styleId="CommentText">
    <w:name w:val="annotation text"/>
    <w:basedOn w:val="Normal"/>
    <w:link w:val="CommentTextChar"/>
    <w:uiPriority w:val="99"/>
    <w:unhideWhenUsed/>
    <w:rsid w:val="00246E57"/>
    <w:pPr>
      <w:spacing w:line="240" w:lineRule="auto"/>
    </w:pPr>
    <w:rPr>
      <w:sz w:val="20"/>
      <w:szCs w:val="20"/>
    </w:rPr>
  </w:style>
  <w:style w:type="character" w:customStyle="1" w:styleId="CommentTextChar">
    <w:name w:val="Comment Text Char"/>
    <w:basedOn w:val="DefaultParagraphFont"/>
    <w:link w:val="CommentText"/>
    <w:uiPriority w:val="99"/>
    <w:rsid w:val="00246E57"/>
    <w:rPr>
      <w:sz w:val="20"/>
      <w:szCs w:val="20"/>
    </w:rPr>
  </w:style>
  <w:style w:type="paragraph" w:styleId="CommentSubject">
    <w:name w:val="annotation subject"/>
    <w:basedOn w:val="CommentText"/>
    <w:next w:val="CommentText"/>
    <w:link w:val="CommentSubjectChar"/>
    <w:uiPriority w:val="99"/>
    <w:semiHidden/>
    <w:unhideWhenUsed/>
    <w:rsid w:val="00246E57"/>
    <w:rPr>
      <w:b/>
      <w:bCs/>
    </w:rPr>
  </w:style>
  <w:style w:type="character" w:customStyle="1" w:styleId="CommentSubjectChar">
    <w:name w:val="Comment Subject Char"/>
    <w:basedOn w:val="CommentTextChar"/>
    <w:link w:val="CommentSubject"/>
    <w:uiPriority w:val="99"/>
    <w:semiHidden/>
    <w:rsid w:val="00246E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88013">
      <w:bodyDiv w:val="1"/>
      <w:marLeft w:val="0"/>
      <w:marRight w:val="0"/>
      <w:marTop w:val="0"/>
      <w:marBottom w:val="0"/>
      <w:divBdr>
        <w:top w:val="none" w:sz="0" w:space="0" w:color="auto"/>
        <w:left w:val="none" w:sz="0" w:space="0" w:color="auto"/>
        <w:bottom w:val="none" w:sz="0" w:space="0" w:color="auto"/>
        <w:right w:val="none" w:sz="0" w:space="0" w:color="auto"/>
      </w:divBdr>
      <w:divsChild>
        <w:div w:id="2107189566">
          <w:marLeft w:val="0"/>
          <w:marRight w:val="0"/>
          <w:marTop w:val="0"/>
          <w:marBottom w:val="0"/>
          <w:divBdr>
            <w:top w:val="none" w:sz="0" w:space="0" w:color="auto"/>
            <w:left w:val="none" w:sz="0" w:space="0" w:color="auto"/>
            <w:bottom w:val="none" w:sz="0" w:space="0" w:color="auto"/>
            <w:right w:val="none" w:sz="0" w:space="0" w:color="auto"/>
          </w:divBdr>
          <w:divsChild>
            <w:div w:id="1003899940">
              <w:marLeft w:val="0"/>
              <w:marRight w:val="0"/>
              <w:marTop w:val="0"/>
              <w:marBottom w:val="0"/>
              <w:divBdr>
                <w:top w:val="none" w:sz="0" w:space="0" w:color="auto"/>
                <w:left w:val="none" w:sz="0" w:space="0" w:color="auto"/>
                <w:bottom w:val="none" w:sz="0" w:space="0" w:color="auto"/>
                <w:right w:val="none" w:sz="0" w:space="0" w:color="auto"/>
              </w:divBdr>
            </w:div>
            <w:div w:id="290870450">
              <w:marLeft w:val="0"/>
              <w:marRight w:val="0"/>
              <w:marTop w:val="0"/>
              <w:marBottom w:val="0"/>
              <w:divBdr>
                <w:top w:val="none" w:sz="0" w:space="0" w:color="auto"/>
                <w:left w:val="none" w:sz="0" w:space="0" w:color="auto"/>
                <w:bottom w:val="none" w:sz="0" w:space="0" w:color="auto"/>
                <w:right w:val="none" w:sz="0" w:space="0" w:color="auto"/>
              </w:divBdr>
            </w:div>
            <w:div w:id="15438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2761">
      <w:bodyDiv w:val="1"/>
      <w:marLeft w:val="0"/>
      <w:marRight w:val="0"/>
      <w:marTop w:val="0"/>
      <w:marBottom w:val="0"/>
      <w:divBdr>
        <w:top w:val="none" w:sz="0" w:space="0" w:color="auto"/>
        <w:left w:val="none" w:sz="0" w:space="0" w:color="auto"/>
        <w:bottom w:val="none" w:sz="0" w:space="0" w:color="auto"/>
        <w:right w:val="none" w:sz="0" w:space="0" w:color="auto"/>
      </w:divBdr>
      <w:divsChild>
        <w:div w:id="336348334">
          <w:marLeft w:val="0"/>
          <w:marRight w:val="0"/>
          <w:marTop w:val="0"/>
          <w:marBottom w:val="0"/>
          <w:divBdr>
            <w:top w:val="none" w:sz="0" w:space="0" w:color="auto"/>
            <w:left w:val="none" w:sz="0" w:space="0" w:color="auto"/>
            <w:bottom w:val="none" w:sz="0" w:space="0" w:color="auto"/>
            <w:right w:val="none" w:sz="0" w:space="0" w:color="auto"/>
          </w:divBdr>
          <w:divsChild>
            <w:div w:id="121848376">
              <w:marLeft w:val="0"/>
              <w:marRight w:val="0"/>
              <w:marTop w:val="0"/>
              <w:marBottom w:val="0"/>
              <w:divBdr>
                <w:top w:val="none" w:sz="0" w:space="0" w:color="auto"/>
                <w:left w:val="none" w:sz="0" w:space="0" w:color="auto"/>
                <w:bottom w:val="none" w:sz="0" w:space="0" w:color="auto"/>
                <w:right w:val="none" w:sz="0" w:space="0" w:color="auto"/>
              </w:divBdr>
              <w:divsChild>
                <w:div w:id="794325694">
                  <w:marLeft w:val="0"/>
                  <w:marRight w:val="0"/>
                  <w:marTop w:val="0"/>
                  <w:marBottom w:val="0"/>
                  <w:divBdr>
                    <w:top w:val="none" w:sz="0" w:space="0" w:color="auto"/>
                    <w:left w:val="none" w:sz="0" w:space="0" w:color="auto"/>
                    <w:bottom w:val="none" w:sz="0" w:space="0" w:color="auto"/>
                    <w:right w:val="none" w:sz="0" w:space="0" w:color="auto"/>
                  </w:divBdr>
                </w:div>
                <w:div w:id="2072464126">
                  <w:marLeft w:val="0"/>
                  <w:marRight w:val="0"/>
                  <w:marTop w:val="0"/>
                  <w:marBottom w:val="0"/>
                  <w:divBdr>
                    <w:top w:val="none" w:sz="0" w:space="0" w:color="auto"/>
                    <w:left w:val="none" w:sz="0" w:space="0" w:color="auto"/>
                    <w:bottom w:val="none" w:sz="0" w:space="0" w:color="auto"/>
                    <w:right w:val="none" w:sz="0" w:space="0" w:color="auto"/>
                  </w:divBdr>
                </w:div>
                <w:div w:id="186604585">
                  <w:marLeft w:val="0"/>
                  <w:marRight w:val="0"/>
                  <w:marTop w:val="0"/>
                  <w:marBottom w:val="0"/>
                  <w:divBdr>
                    <w:top w:val="none" w:sz="0" w:space="0" w:color="auto"/>
                    <w:left w:val="none" w:sz="0" w:space="0" w:color="auto"/>
                    <w:bottom w:val="none" w:sz="0" w:space="0" w:color="auto"/>
                    <w:right w:val="none" w:sz="0" w:space="0" w:color="auto"/>
                  </w:divBdr>
                </w:div>
                <w:div w:id="443813574">
                  <w:marLeft w:val="0"/>
                  <w:marRight w:val="0"/>
                  <w:marTop w:val="0"/>
                  <w:marBottom w:val="0"/>
                  <w:divBdr>
                    <w:top w:val="none" w:sz="0" w:space="0" w:color="auto"/>
                    <w:left w:val="none" w:sz="0" w:space="0" w:color="auto"/>
                    <w:bottom w:val="none" w:sz="0" w:space="0" w:color="auto"/>
                    <w:right w:val="none" w:sz="0" w:space="0" w:color="auto"/>
                  </w:divBdr>
                </w:div>
                <w:div w:id="2053461342">
                  <w:marLeft w:val="0"/>
                  <w:marRight w:val="0"/>
                  <w:marTop w:val="0"/>
                  <w:marBottom w:val="0"/>
                  <w:divBdr>
                    <w:top w:val="none" w:sz="0" w:space="0" w:color="auto"/>
                    <w:left w:val="none" w:sz="0" w:space="0" w:color="auto"/>
                    <w:bottom w:val="none" w:sz="0" w:space="0" w:color="auto"/>
                    <w:right w:val="none" w:sz="0" w:space="0" w:color="auto"/>
                  </w:divBdr>
                </w:div>
              </w:divsChild>
            </w:div>
            <w:div w:id="1077215779">
              <w:marLeft w:val="0"/>
              <w:marRight w:val="0"/>
              <w:marTop w:val="0"/>
              <w:marBottom w:val="0"/>
              <w:divBdr>
                <w:top w:val="none" w:sz="0" w:space="0" w:color="auto"/>
                <w:left w:val="none" w:sz="0" w:space="0" w:color="auto"/>
                <w:bottom w:val="none" w:sz="0" w:space="0" w:color="auto"/>
                <w:right w:val="none" w:sz="0" w:space="0" w:color="auto"/>
              </w:divBdr>
              <w:divsChild>
                <w:div w:id="2066292179">
                  <w:marLeft w:val="0"/>
                  <w:marRight w:val="0"/>
                  <w:marTop w:val="0"/>
                  <w:marBottom w:val="0"/>
                  <w:divBdr>
                    <w:top w:val="none" w:sz="0" w:space="0" w:color="auto"/>
                    <w:left w:val="none" w:sz="0" w:space="0" w:color="auto"/>
                    <w:bottom w:val="none" w:sz="0" w:space="0" w:color="auto"/>
                    <w:right w:val="none" w:sz="0" w:space="0" w:color="auto"/>
                  </w:divBdr>
                </w:div>
                <w:div w:id="5901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Markland</dc:creator>
  <cp:keywords/>
  <dc:description/>
  <cp:lastModifiedBy>Town Clerk</cp:lastModifiedBy>
  <cp:revision>2</cp:revision>
  <dcterms:created xsi:type="dcterms:W3CDTF">2023-04-12T15:26:00Z</dcterms:created>
  <dcterms:modified xsi:type="dcterms:W3CDTF">2023-04-12T15:26:00Z</dcterms:modified>
</cp:coreProperties>
</file>